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5E7E" w14:textId="77777777" w:rsidR="006775D6" w:rsidRPr="00D87514" w:rsidRDefault="00D87514" w:rsidP="00D87514">
      <w:pPr>
        <w:jc w:val="center"/>
        <w:rPr>
          <w:rFonts w:ascii="OpenDyslexic" w:hAnsi="OpenDyslexic"/>
        </w:rPr>
      </w:pPr>
      <w:r>
        <w:rPr>
          <w:rFonts w:ascii="OpenDyslexic" w:hAnsi="OpenDyslexic"/>
        </w:rPr>
        <w:t xml:space="preserve">HOW TO DEVELOP </w:t>
      </w:r>
      <w:r w:rsidR="006775D6" w:rsidRPr="00D87514">
        <w:rPr>
          <w:rFonts w:ascii="OpenDyslexic" w:hAnsi="OpenDyslexic"/>
        </w:rPr>
        <w:t>ENDURING UNDERSTANDING AND ESSENTIAL QUESTIONS</w:t>
      </w:r>
    </w:p>
    <w:p w14:paraId="7C901FF4" w14:textId="4026BD11" w:rsidR="006F3795" w:rsidRDefault="006775D6" w:rsidP="006F3795">
      <w:pPr>
        <w:jc w:val="center"/>
        <w:rPr>
          <w:rFonts w:ascii="OpenDyslexic" w:hAnsi="OpenDyslexic"/>
        </w:rPr>
      </w:pPr>
      <w:r w:rsidRPr="00D87514">
        <w:rPr>
          <w:rFonts w:ascii="OpenDyslexic" w:hAnsi="OpenDyslexic"/>
        </w:rPr>
        <w:t>What do our students need to learn?</w:t>
      </w:r>
    </w:p>
    <w:p w14:paraId="292FFE88" w14:textId="77777777" w:rsidR="006F3795" w:rsidRPr="00D87514" w:rsidRDefault="006F3795" w:rsidP="006F3795">
      <w:pPr>
        <w:jc w:val="center"/>
        <w:rPr>
          <w:rFonts w:ascii="OpenDyslexic" w:hAnsi="OpenDyslexic"/>
        </w:rPr>
      </w:pPr>
    </w:p>
    <w:p w14:paraId="4BCC9216" w14:textId="3E9438BF" w:rsidR="008D552D" w:rsidRDefault="00E276D0" w:rsidP="00D87514">
      <w:pPr>
        <w:jc w:val="center"/>
      </w:pPr>
      <w:r>
        <w:rPr>
          <w:noProof/>
          <w:lang w:val="en-US"/>
        </w:rPr>
        <w:drawing>
          <wp:inline distT="0" distB="0" distL="0" distR="0" wp14:anchorId="5751CEE7" wp14:editId="050F58BA">
            <wp:extent cx="5185863" cy="3408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 essential question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23303" r="-727" b="30521"/>
                    <a:stretch/>
                  </pic:blipFill>
                  <pic:spPr bwMode="auto">
                    <a:xfrm>
                      <a:off x="0" y="0"/>
                      <a:ext cx="5186430" cy="3408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AA249" w14:textId="77777777" w:rsidR="00E276D0" w:rsidRPr="00D87514" w:rsidRDefault="00E276D0" w:rsidP="006F3795"/>
    <w:p w14:paraId="020D2F16" w14:textId="72B667A2" w:rsidR="00D87514" w:rsidRDefault="008D552D" w:rsidP="00D87514">
      <w:pPr>
        <w:jc w:val="center"/>
        <w:rPr>
          <w:rFonts w:ascii="OpenDyslexic" w:hAnsi="OpenDyslexic"/>
        </w:rPr>
      </w:pPr>
      <w:r w:rsidRPr="008D552D">
        <w:rPr>
          <w:rFonts w:ascii="OpenDyslexic" w:hAnsi="OpenDyslexic"/>
        </w:rPr>
        <w:t xml:space="preserve">FILTERS FOR SELECTING ENDURING UNDERSTANDING GOALS </w:t>
      </w:r>
      <w:r w:rsidR="00E276D0">
        <w:rPr>
          <w:rFonts w:ascii="OpenDyslexic" w:hAnsi="OpenDyslexic"/>
        </w:rPr>
        <w:softHyphen/>
      </w:r>
      <w:r w:rsidR="00E276D0">
        <w:rPr>
          <w:rFonts w:ascii="OpenDyslexic" w:hAnsi="OpenDyslexic"/>
        </w:rPr>
        <w:softHyphen/>
      </w:r>
    </w:p>
    <w:p w14:paraId="4ED41158" w14:textId="77777777" w:rsidR="008D552D" w:rsidRDefault="008D552D" w:rsidP="00D87514">
      <w:pPr>
        <w:jc w:val="center"/>
        <w:rPr>
          <w:rFonts w:ascii="OpenDyslexic" w:hAnsi="OpenDyslexic"/>
        </w:rPr>
      </w:pPr>
      <w:r w:rsidRPr="008D552D">
        <w:rPr>
          <w:rFonts w:ascii="OpenDyslexic" w:hAnsi="OpenDyslexic"/>
        </w:rPr>
        <w:t>AND ESSENTAIL QUESTIONS</w:t>
      </w:r>
    </w:p>
    <w:p w14:paraId="38AA3935" w14:textId="5DAD93FA" w:rsidR="008D552D" w:rsidRDefault="003D5BAA" w:rsidP="00D87514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Representing a bi</w:t>
      </w:r>
      <w:r w:rsidR="008D552D">
        <w:rPr>
          <w:rFonts w:ascii="OpenDyslexic" w:hAnsi="OpenDyslexic"/>
        </w:rPr>
        <w:t>g idea with enduring value beyond the classroom</w:t>
      </w:r>
    </w:p>
    <w:p w14:paraId="756187BC" w14:textId="0613C8C5" w:rsidR="008D552D" w:rsidRDefault="008D552D" w:rsidP="00D87514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Resides at the hear</w:t>
      </w:r>
      <w:r w:rsidR="00CE108C">
        <w:rPr>
          <w:rFonts w:ascii="OpenDyslexic" w:hAnsi="OpenDyslexic"/>
        </w:rPr>
        <w:t>t</w:t>
      </w:r>
      <w:r>
        <w:rPr>
          <w:rFonts w:ascii="OpenDyslexic" w:hAnsi="OpenDyslexic"/>
        </w:rPr>
        <w:t xml:space="preserve"> of the discipline</w:t>
      </w:r>
    </w:p>
    <w:p w14:paraId="39A11D33" w14:textId="77777777" w:rsidR="008D552D" w:rsidRDefault="008D552D" w:rsidP="00D87514">
      <w:pPr>
        <w:pStyle w:val="ListParagraph"/>
        <w:numPr>
          <w:ilvl w:val="0"/>
          <w:numId w:val="1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Is open-ended, complex, provocative</w:t>
      </w:r>
    </w:p>
    <w:p w14:paraId="74EA0890" w14:textId="69B57186" w:rsidR="008D552D" w:rsidRPr="006F3795" w:rsidRDefault="008D552D" w:rsidP="00D87514">
      <w:pPr>
        <w:pStyle w:val="ListParagraph"/>
        <w:numPr>
          <w:ilvl w:val="0"/>
          <w:numId w:val="1"/>
        </w:numPr>
        <w:jc w:val="both"/>
        <w:rPr>
          <w:rFonts w:ascii="OpenDyslexic" w:hAnsi="OpenDyslexic"/>
          <w:i/>
        </w:rPr>
      </w:pPr>
      <w:r>
        <w:rPr>
          <w:rFonts w:ascii="OpenDyslexic" w:hAnsi="OpenDyslexic"/>
        </w:rPr>
        <w:t>Is relevant and developmen</w:t>
      </w:r>
      <w:r w:rsidR="006F3795">
        <w:rPr>
          <w:rFonts w:ascii="OpenDyslexic" w:hAnsi="OpenDyslexic"/>
        </w:rPr>
        <w:t>tally appropriate for students “</w:t>
      </w:r>
      <w:r>
        <w:rPr>
          <w:rFonts w:ascii="OpenDyslexic" w:hAnsi="OpenDyslexic"/>
        </w:rPr>
        <w:t xml:space="preserve">you cannot engage your students if </w:t>
      </w:r>
      <w:r w:rsidR="006F3795">
        <w:rPr>
          <w:rFonts w:ascii="OpenDyslexic" w:hAnsi="OpenDyslexic"/>
        </w:rPr>
        <w:t xml:space="preserve">you don’t know where they’re at” </w:t>
      </w:r>
      <w:r w:rsidR="006F3795" w:rsidRPr="006F3795">
        <w:rPr>
          <w:rFonts w:ascii="OpenDyslexic" w:hAnsi="OpenDyslexic"/>
          <w:i/>
        </w:rPr>
        <w:t xml:space="preserve">John Dew - </w:t>
      </w:r>
      <w:r w:rsidR="006F3795">
        <w:rPr>
          <w:rFonts w:ascii="OpenDyslexic" w:hAnsi="OpenDyslexic"/>
          <w:i/>
        </w:rPr>
        <w:t>Sympathetic L</w:t>
      </w:r>
      <w:r w:rsidR="006F3795" w:rsidRPr="006F3795">
        <w:rPr>
          <w:rFonts w:ascii="OpenDyslexic" w:hAnsi="OpenDyslexic"/>
          <w:i/>
        </w:rPr>
        <w:t>earning</w:t>
      </w:r>
      <w:r w:rsidRPr="006F3795">
        <w:rPr>
          <w:rFonts w:ascii="OpenDyslexic" w:hAnsi="OpenDyslexic"/>
          <w:i/>
        </w:rPr>
        <w:t>.</w:t>
      </w:r>
    </w:p>
    <w:p w14:paraId="515770C0" w14:textId="77777777" w:rsidR="00D87514" w:rsidRPr="006F3795" w:rsidRDefault="00D87514" w:rsidP="00D87514">
      <w:pPr>
        <w:ind w:left="360"/>
        <w:jc w:val="both"/>
        <w:rPr>
          <w:rFonts w:ascii="OpenDyslexic" w:hAnsi="OpenDyslexic"/>
          <w:i/>
          <w:sz w:val="16"/>
          <w:szCs w:val="16"/>
        </w:rPr>
      </w:pPr>
    </w:p>
    <w:p w14:paraId="228D5A15" w14:textId="58FF44B3" w:rsidR="00D87514" w:rsidRDefault="00AB56B8" w:rsidP="00D87514">
      <w:pPr>
        <w:jc w:val="center"/>
        <w:rPr>
          <w:rFonts w:ascii="OpenDyslexic" w:hAnsi="OpenDyslexic"/>
        </w:rPr>
      </w:pPr>
      <w:r>
        <w:rPr>
          <w:rFonts w:ascii="OpenDyslexic" w:hAnsi="OpenDyslexic"/>
        </w:rPr>
        <w:t>CHECKLIST FOR ENDURING UNDERSTAND</w:t>
      </w:r>
      <w:bookmarkStart w:id="0" w:name="_GoBack"/>
      <w:bookmarkEnd w:id="0"/>
      <w:r w:rsidR="00D87514">
        <w:rPr>
          <w:rFonts w:ascii="OpenDyslexic" w:hAnsi="OpenDyslexic"/>
        </w:rPr>
        <w:t>ING GOALS AND ESSENTIAL QUESTIONS</w:t>
      </w:r>
    </w:p>
    <w:p w14:paraId="23C5936C" w14:textId="77777777" w:rsidR="00D87514" w:rsidRDefault="00D87514" w:rsidP="00D87514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Organises and focuses learning</w:t>
      </w:r>
    </w:p>
    <w:p w14:paraId="6DB56E1F" w14:textId="77777777" w:rsidR="00D87514" w:rsidRDefault="00D87514" w:rsidP="00D87514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Defines the essence of what students will learn</w:t>
      </w:r>
    </w:p>
    <w:p w14:paraId="644E9DEF" w14:textId="77777777" w:rsidR="00D87514" w:rsidRDefault="00D87514" w:rsidP="00D87514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Cannot be answered in one sentence and has no easy answer</w:t>
      </w:r>
    </w:p>
    <w:p w14:paraId="370DD1A3" w14:textId="77777777" w:rsidR="00D87514" w:rsidRDefault="00D87514" w:rsidP="00D87514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Can be examined from multiple perspectives</w:t>
      </w:r>
    </w:p>
    <w:p w14:paraId="28301EB3" w14:textId="77777777" w:rsidR="00D87514" w:rsidRDefault="00D87514" w:rsidP="00D87514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Allows students to think deeply</w:t>
      </w:r>
    </w:p>
    <w:p w14:paraId="5916939D" w14:textId="77777777" w:rsidR="00D87514" w:rsidRDefault="00D87514" w:rsidP="00D87514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Is kid friendly and easily accessible, publicly displayed</w:t>
      </w:r>
    </w:p>
    <w:p w14:paraId="5229DF07" w14:textId="77777777" w:rsidR="00D87514" w:rsidRDefault="00D87514" w:rsidP="00D87514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Core concepts, principles, theories, and processes that anchor curriculum</w:t>
      </w:r>
    </w:p>
    <w:p w14:paraId="2B5DE616" w14:textId="77777777" w:rsidR="00D87514" w:rsidRDefault="00D87514" w:rsidP="00D87514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>Is this what we want students to remember</w:t>
      </w:r>
    </w:p>
    <w:p w14:paraId="4C50ABF7" w14:textId="77777777" w:rsidR="00AF25EF" w:rsidRPr="00EB1539" w:rsidRDefault="00D87514" w:rsidP="00AF25EF">
      <w:pPr>
        <w:pStyle w:val="ListParagraph"/>
        <w:numPr>
          <w:ilvl w:val="0"/>
          <w:numId w:val="2"/>
        </w:numPr>
        <w:jc w:val="both"/>
        <w:rPr>
          <w:rFonts w:ascii="OpenDyslexic" w:hAnsi="OpenDyslexic"/>
        </w:rPr>
      </w:pPr>
      <w:r>
        <w:rPr>
          <w:rFonts w:ascii="OpenDyslexic" w:hAnsi="OpenDyslexic"/>
        </w:rPr>
        <w:t xml:space="preserve">Students will understand and be able to use long after high school </w:t>
      </w:r>
    </w:p>
    <w:p w14:paraId="4DE1F1A1" w14:textId="77777777" w:rsidR="00EB1539" w:rsidRDefault="00EB1539" w:rsidP="00AF25EF">
      <w:pPr>
        <w:jc w:val="both"/>
        <w:rPr>
          <w:rFonts w:ascii="OpenDyslexic" w:hAnsi="OpenDyslexic"/>
          <w:sz w:val="16"/>
          <w:szCs w:val="16"/>
        </w:rPr>
      </w:pPr>
    </w:p>
    <w:p w14:paraId="6FFF9197" w14:textId="52A0EFCC" w:rsidR="00AF25EF" w:rsidRPr="00EB1539" w:rsidRDefault="00AF25EF" w:rsidP="00AF25EF">
      <w:pPr>
        <w:jc w:val="both"/>
        <w:rPr>
          <w:rFonts w:ascii="OpenDyslexic" w:hAnsi="OpenDyslexic"/>
          <w:sz w:val="16"/>
          <w:szCs w:val="16"/>
        </w:rPr>
      </w:pPr>
      <w:r w:rsidRPr="00EB1539">
        <w:rPr>
          <w:rFonts w:ascii="OpenDyslexic" w:hAnsi="OpenDyslexic"/>
          <w:sz w:val="16"/>
          <w:szCs w:val="16"/>
        </w:rPr>
        <w:t xml:space="preserve">Wiggins: Enduring Understandings &amp; Essential Questions, Diana </w:t>
      </w:r>
      <w:proofErr w:type="spellStart"/>
      <w:r w:rsidRPr="00EB1539">
        <w:rPr>
          <w:rFonts w:ascii="OpenDyslexic" w:hAnsi="OpenDyslexic"/>
          <w:sz w:val="16"/>
          <w:szCs w:val="16"/>
        </w:rPr>
        <w:t>Cornejo</w:t>
      </w:r>
      <w:proofErr w:type="spellEnd"/>
      <w:r w:rsidR="00EB1539" w:rsidRPr="00EB1539">
        <w:rPr>
          <w:rFonts w:ascii="OpenDyslexic" w:hAnsi="OpenDyslexic"/>
          <w:sz w:val="16"/>
          <w:szCs w:val="16"/>
        </w:rPr>
        <w:t>-Sanchez 8.12.08</w:t>
      </w:r>
      <w:r w:rsidR="00EB1539">
        <w:rPr>
          <w:rFonts w:ascii="OpenDyslexic" w:hAnsi="OpenDyslexic"/>
          <w:sz w:val="16"/>
          <w:szCs w:val="16"/>
        </w:rPr>
        <w:t xml:space="preserve"> (rewritten for MOC by </w:t>
      </w:r>
      <w:proofErr w:type="spellStart"/>
      <w:r w:rsidR="00EB1539">
        <w:rPr>
          <w:rFonts w:ascii="OpenDyslexic" w:hAnsi="OpenDyslexic"/>
          <w:sz w:val="16"/>
          <w:szCs w:val="16"/>
        </w:rPr>
        <w:t>K.Axford</w:t>
      </w:r>
      <w:proofErr w:type="spellEnd"/>
      <w:r w:rsidR="00EB1539">
        <w:rPr>
          <w:rFonts w:ascii="OpenDyslexic" w:hAnsi="OpenDyslexic"/>
          <w:sz w:val="16"/>
          <w:szCs w:val="16"/>
        </w:rPr>
        <w:t xml:space="preserve"> from HTH </w:t>
      </w:r>
      <w:r w:rsidR="007234ED">
        <w:rPr>
          <w:rFonts w:ascii="OpenDyslexic" w:hAnsi="OpenDyslexic"/>
          <w:sz w:val="16"/>
          <w:szCs w:val="16"/>
        </w:rPr>
        <w:t>resources</w:t>
      </w:r>
      <w:r w:rsidR="00EB1539">
        <w:rPr>
          <w:rFonts w:ascii="OpenDyslexic" w:hAnsi="OpenDyslexic"/>
          <w:sz w:val="16"/>
          <w:szCs w:val="16"/>
        </w:rPr>
        <w:t>).</w:t>
      </w:r>
    </w:p>
    <w:sectPr w:rsidR="00AF25EF" w:rsidRPr="00EB1539" w:rsidSect="00D8751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9EB"/>
    <w:multiLevelType w:val="hybridMultilevel"/>
    <w:tmpl w:val="C11C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4F10"/>
    <w:multiLevelType w:val="hybridMultilevel"/>
    <w:tmpl w:val="AA2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D6"/>
    <w:rsid w:val="000E560A"/>
    <w:rsid w:val="003D5BAA"/>
    <w:rsid w:val="006775D6"/>
    <w:rsid w:val="006F3795"/>
    <w:rsid w:val="007234ED"/>
    <w:rsid w:val="008B68D0"/>
    <w:rsid w:val="008D552D"/>
    <w:rsid w:val="00AB56B8"/>
    <w:rsid w:val="00AF25EF"/>
    <w:rsid w:val="00CE108C"/>
    <w:rsid w:val="00D87514"/>
    <w:rsid w:val="00E276D0"/>
    <w:rsid w:val="00E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E4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170</Words>
  <Characters>970</Characters>
  <Application>Microsoft Macintosh Word</Application>
  <DocSecurity>0</DocSecurity>
  <Lines>8</Lines>
  <Paragraphs>2</Paragraphs>
  <ScaleCrop>false</ScaleCrop>
  <Company>Mark Oliphant College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7</cp:revision>
  <cp:lastPrinted>2015-01-21T02:56:00Z</cp:lastPrinted>
  <dcterms:created xsi:type="dcterms:W3CDTF">2015-01-20T08:03:00Z</dcterms:created>
  <dcterms:modified xsi:type="dcterms:W3CDTF">2015-01-28T02:18:00Z</dcterms:modified>
</cp:coreProperties>
</file>